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ind w:left="-1440" w:right="-1440" w:firstLine="1440"/>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A Report on Airport Report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Airport delays are a common phenomenon that is experienced in many airports around the world due to several factors. A major concern of airport operators and users is the delay; it costs the passengers and the airport stakeholders a lot of resources and time. Flights cannot take-off or completed in the scheduled time because the queue of the airplanes awaiting to either land or take off or use of the taxiways and entrances leading to the terminal buildings. These said delays are the ones that cost the passengers their valuable time and also increased operating costs for airport users. The general term that is used to describe the cause of this delay is known as lack of capacity. These means that the airport lacks sufficient capacity regarding its infrastructures such as runways, taxiways, or entrances to accommodate all the passengers and other people who want to use the airport during peak periods of demand.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solutions that are to make things work smoothly in the airports ought to advocate for constructing additional facilities at crowded airports or find ways to make the existing facilities more efficient.  The latter course is seen as attractive since it calls for less capital investment and also it avoids many problems that are associated with increasing the size of the airports, increasing the size of the airport will call for additional land and hence this will mean that the community that surrounds the airport will be pushed from their land. The rationale besides all the approaches that seek to bring about ease in the way the airports operate is that capacity and </w:t>
      </w:r>
      <w:r>
        <w:rPr>
          <w:rFonts w:ascii="Times New Roman" w:cs="Times New Roman" w:hAnsi="Times New Roman"/>
          <w:sz w:val="24"/>
          <w:szCs w:val="24"/>
        </w:rPr>
        <w:t xml:space="preserve">demand must somehow be brought into equilibrium to prevent or reduce delay. The relationship between demand, capacity, and delay is considerably more complex than the suggestions listed above. It is good before one suggests a solution to problems to first have a clear picture of the specific airport; different airports may be experiencing varying problems which are brought about by different causes. Capacity means the ability of an airport to handle efficiently a certain volume of traffic. Such a limit cannot be exceeded without experiencing an operational penalty. Before this point is reached, airport customer service rooms experience long queues of users awaiting to be served by the limited number of attendants, hence they experience the delay. To be specific, the higher the demand for capacity, the longer the user queues and hence the greater the delays at the customer service bays. As for the service facility, it does not provide equal service all through; its service rapidly decreases as traffic nears capacity. However, a service facility can eventually handle more than its immediate capacity by having delays at regular intervals until an opportunity for service pops up. Furthermore, some level of delay is usually experienced long before capacity is attained, and it then grows exponentially as demand increases.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Delay occur on the airport whenever more than one aircraft wants to make use of the runway, gate or any other facility that it usually makes use of during its operations at the same time. One of the aircraft must wait while the other one is catered for.  If all those who want to use the airport sought the services offered by the facility at specific regular intervals, then the airport could accommodate them at a rate that is prior determined by the time needed by each user to push them through the facility.  Since aircraft land and take-off not in a uniform rate, that is, in somewhat randomly, it means that delay can be experienced even when demand is low about capacity. When an airfield is experiencing demand that is exceeding its capacity, there is an </w:t>
      </w:r>
      <w:r>
        <w:rPr>
          <w:rFonts w:ascii="Times New Roman" w:cs="Times New Roman" w:hAnsi="Times New Roman"/>
          <w:sz w:val="24"/>
          <w:szCs w:val="24"/>
        </w:rPr>
        <w:t xml:space="preserve">accumulation of aircraft awaiting service which is directly proportional to the excess of demand over capacity.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Airport capacity is mostly at its peak during clear weather, when visibility is at its best. Some of the weather conditions that cause delays in airports are fog, precipitations, strong winds, low ceilings, accumulation of snow or ice on the runways; such factors can cut capacity severely or lead to a closure of the airport altogether. A common occurrence like a wind shift can cause disruptions in the operations while traffic is directed to a different pattern; if the newly adapted pattern is not optimum, capacity can be decreased for as long as the wind continues to blow.</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following is data that is analyzing the delays that are experienced in various days of the week.</w:t>
      </w:r>
    </w:p>
    <w:bookmarkStart w:id="0" w:name="_GoBack"/>
    <w:bookmarkEnd w:id="0"/>
    <w:p>
      <w:pPr>
        <w:pStyle w:val="style0"/>
        <w:spacing w:lineRule="auto" w:line="480"/>
        <w:rPr>
          <w:rFonts w:ascii="Times New Roman" w:cs="Times New Roman" w:hAnsi="Times New Roman"/>
          <w:sz w:val="24"/>
          <w:szCs w:val="24"/>
        </w:rPr>
      </w:pPr>
    </w:p>
    <w:tbl>
      <w:tblPr>
        <w:tblW w:w="6258" w:type="dxa"/>
        <w:tblLook w:val="04A0" w:firstRow="1" w:lastRow="0" w:firstColumn="1" w:lastColumn="0" w:noHBand="0" w:noVBand="1"/>
      </w:tblPr>
      <w:tblGrid>
        <w:gridCol w:w="1458"/>
        <w:gridCol w:w="1176"/>
        <w:gridCol w:w="1116"/>
        <w:gridCol w:w="1116"/>
        <w:gridCol w:w="960"/>
        <w:gridCol w:w="960"/>
      </w:tblGrid>
      <w:tr>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Month</w:t>
            </w: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(All)</w:t>
            </w: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overall</w:t>
            </w: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3378" w:type="dxa"/>
            <w:gridSpan w:val="3"/>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sum of delay minutes during</w:t>
            </w: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1200" w:hRule="atLeast"/>
        </w:trPr>
        <w:tc>
          <w:tcPr>
            <w:tcW w:w="1458" w:type="dxa"/>
            <w:tcBorders>
              <w:top w:val="nil"/>
              <w:left w:val="nil"/>
              <w:bottom w:val="nil"/>
              <w:right w:val="nil"/>
            </w:tcBorders>
            <w:shd w:val="clear" w:color="auto" w:fill="auto"/>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Day of the week</w:t>
            </w:r>
          </w:p>
        </w:tc>
        <w:tc>
          <w:tcPr>
            <w:tcW w:w="960" w:type="dxa"/>
            <w:tcBorders>
              <w:top w:val="nil"/>
              <w:left w:val="nil"/>
              <w:bottom w:val="nil"/>
              <w:right w:val="nil"/>
            </w:tcBorders>
            <w:shd w:val="clear" w:color="auto" w:fill="auto"/>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minutes per day</w:t>
            </w:r>
          </w:p>
        </w:tc>
        <w:tc>
          <w:tcPr>
            <w:tcW w:w="960" w:type="dxa"/>
            <w:tcBorders>
              <w:top w:val="nil"/>
              <w:left w:val="nil"/>
              <w:bottom w:val="nil"/>
              <w:right w:val="nil"/>
            </w:tcBorders>
            <w:shd w:val="clear" w:color="auto" w:fill="auto"/>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of total delay/ month</w:t>
            </w:r>
          </w:p>
        </w:tc>
        <w:tc>
          <w:tcPr>
            <w:tcW w:w="960" w:type="dxa"/>
            <w:tcBorders>
              <w:top w:val="nil"/>
              <w:left w:val="nil"/>
              <w:bottom w:val="nil"/>
              <w:right w:val="nil"/>
            </w:tcBorders>
            <w:shd w:val="clear" w:color="auto" w:fill="auto"/>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number of flights per day</w:t>
            </w: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000000" w:fill="ffff00"/>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Monday</w:t>
            </w:r>
          </w:p>
        </w:tc>
        <w:tc>
          <w:tcPr>
            <w:tcW w:w="960" w:type="dxa"/>
            <w:tcBorders>
              <w:top w:val="nil"/>
              <w:left w:val="nil"/>
              <w:bottom w:val="nil"/>
              <w:right w:val="nil"/>
            </w:tcBorders>
            <w:shd w:val="clear" w:color="000000" w:fill="ffff00"/>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293,256</w:t>
            </w:r>
          </w:p>
        </w:tc>
        <w:tc>
          <w:tcPr>
            <w:tcW w:w="960" w:type="dxa"/>
            <w:tcBorders>
              <w:top w:val="nil"/>
              <w:left w:val="nil"/>
              <w:bottom w:val="nil"/>
              <w:right w:val="nil"/>
            </w:tcBorders>
            <w:shd w:val="clear" w:color="000000" w:fill="ffff00"/>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20.4422</w:t>
            </w:r>
          </w:p>
        </w:tc>
        <w:tc>
          <w:tcPr>
            <w:tcW w:w="960" w:type="dxa"/>
            <w:tcBorders>
              <w:top w:val="nil"/>
              <w:left w:val="nil"/>
              <w:bottom w:val="nil"/>
              <w:right w:val="nil"/>
            </w:tcBorders>
            <w:shd w:val="clear" w:color="000000" w:fill="ffff00"/>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3,564</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Sunday</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204,020</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14.22176</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3,234</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Wednesday</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200,230</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13.95757</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3,003</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Thursday</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197,025</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13.73416</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2,593</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Saturday</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195,521</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13.62932</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2,453</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Friday</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194,256</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13.54114</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1,356</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Tuesday</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150,254</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10.47386</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1,200</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grand total</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1,434,562</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100</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17,403</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b/>
                <w:bCs/>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5298" w:type="dxa"/>
            <w:gridSpan w:val="5"/>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Number of delay minutes total minutes/average</w:t>
            </w: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p>
        </w:tc>
      </w:tr>
      <w:tr>
        <w:tblPrEx/>
        <w:trPr>
          <w:trHeight w:val="300" w:hRule="atLeast"/>
        </w:trPr>
        <w:tc>
          <w:tcPr>
            <w:tcW w:w="2418" w:type="dxa"/>
            <w:gridSpan w:val="2"/>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minutes per delay</w:t>
            </w: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month July</w:t>
            </w: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9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day of the week</w:t>
            </w:r>
          </w:p>
        </w:tc>
        <w:tc>
          <w:tcPr>
            <w:tcW w:w="960" w:type="dxa"/>
            <w:tcBorders>
              <w:top w:val="nil"/>
              <w:left w:val="nil"/>
              <w:bottom w:val="nil"/>
              <w:right w:val="nil"/>
            </w:tcBorders>
            <w:shd w:val="clear" w:color="auto" w:fill="auto"/>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number of delay minutes</w:t>
            </w:r>
          </w:p>
        </w:tc>
        <w:tc>
          <w:tcPr>
            <w:tcW w:w="960" w:type="dxa"/>
            <w:tcBorders>
              <w:top w:val="nil"/>
              <w:left w:val="nil"/>
              <w:bottom w:val="nil"/>
              <w:right w:val="nil"/>
            </w:tcBorders>
            <w:shd w:val="clear" w:color="auto" w:fill="auto"/>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number of flights</w:t>
            </w:r>
          </w:p>
        </w:tc>
        <w:tc>
          <w:tcPr>
            <w:tcW w:w="960" w:type="dxa"/>
            <w:tcBorders>
              <w:top w:val="nil"/>
              <w:left w:val="nil"/>
              <w:bottom w:val="nil"/>
              <w:right w:val="nil"/>
            </w:tcBorders>
            <w:shd w:val="clear" w:color="auto" w:fill="auto"/>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average delay per flight</w:t>
            </w: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000000" w:fill="ffff00"/>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Tuesday </w:t>
            </w:r>
          </w:p>
        </w:tc>
        <w:tc>
          <w:tcPr>
            <w:tcW w:w="960" w:type="dxa"/>
            <w:tcBorders>
              <w:top w:val="nil"/>
              <w:left w:val="nil"/>
              <w:bottom w:val="nil"/>
              <w:right w:val="nil"/>
            </w:tcBorders>
            <w:shd w:val="clear" w:color="000000" w:fill="ffff00"/>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197,236</w:t>
            </w:r>
          </w:p>
        </w:tc>
        <w:tc>
          <w:tcPr>
            <w:tcW w:w="960" w:type="dxa"/>
            <w:tcBorders>
              <w:top w:val="nil"/>
              <w:left w:val="nil"/>
              <w:bottom w:val="nil"/>
              <w:right w:val="nil"/>
            </w:tcBorders>
            <w:shd w:val="clear" w:color="000000" w:fill="ffff00"/>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3586</w:t>
            </w:r>
          </w:p>
        </w:tc>
        <w:tc>
          <w:tcPr>
            <w:tcW w:w="960" w:type="dxa"/>
            <w:tcBorders>
              <w:top w:val="nil"/>
              <w:left w:val="nil"/>
              <w:bottom w:val="nil"/>
              <w:right w:val="nil"/>
            </w:tcBorders>
            <w:shd w:val="clear" w:color="000000" w:fill="ffff00"/>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55.00167</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Wednesday</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189,231</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2351</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80.48958</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Monday</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150,235</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1562</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96.18118</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Sunday</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103,235</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1235</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83.59109</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Thursday</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89,231</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1003</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88.96411</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Saturday</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78,521</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958</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81.96347</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Friday</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45,254</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856</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52.86682</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grand total</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852,943</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11551</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73.84149</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b/>
                <w:bCs/>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6258" w:type="dxa"/>
            <w:gridSpan w:val="6"/>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number of delay minutes total/% of </w:t>
            </w:r>
            <w:r>
              <w:rPr>
                <w:rFonts w:ascii="Times New Roman" w:cs="Times New Roman" w:eastAsia="Times New Roman" w:hAnsi="Times New Roman"/>
                <w:color w:val="000000"/>
                <w:sz w:val="24"/>
                <w:szCs w:val="24"/>
              </w:rPr>
              <w:t>July</w:t>
            </w:r>
            <w:r>
              <w:rPr>
                <w:rFonts w:ascii="Times New Roman" w:cs="Times New Roman" w:eastAsia="Times New Roman" w:hAnsi="Times New Roman"/>
                <w:color w:val="000000"/>
                <w:sz w:val="24"/>
                <w:szCs w:val="24"/>
              </w:rPr>
              <w:t xml:space="preserve"> and august delays</w:t>
            </w: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month</w:t>
            </w: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August</w:t>
            </w: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9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row labels</w:t>
            </w:r>
          </w:p>
        </w:tc>
        <w:tc>
          <w:tcPr>
            <w:tcW w:w="960" w:type="dxa"/>
            <w:tcBorders>
              <w:top w:val="nil"/>
              <w:left w:val="nil"/>
              <w:bottom w:val="nil"/>
              <w:right w:val="nil"/>
            </w:tcBorders>
            <w:shd w:val="clear" w:color="auto" w:fill="auto"/>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sum of arrival delay</w:t>
            </w:r>
          </w:p>
        </w:tc>
        <w:tc>
          <w:tcPr>
            <w:tcW w:w="960" w:type="dxa"/>
            <w:tcBorders>
              <w:top w:val="nil"/>
              <w:left w:val="nil"/>
              <w:bottom w:val="nil"/>
              <w:right w:val="nil"/>
            </w:tcBorders>
            <w:shd w:val="clear" w:color="auto" w:fill="auto"/>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number of flights</w:t>
            </w:r>
          </w:p>
        </w:tc>
        <w:tc>
          <w:tcPr>
            <w:tcW w:w="960" w:type="dxa"/>
            <w:tcBorders>
              <w:top w:val="nil"/>
              <w:left w:val="nil"/>
              <w:bottom w:val="nil"/>
              <w:right w:val="nil"/>
            </w:tcBorders>
            <w:shd w:val="clear" w:color="auto" w:fill="auto"/>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average</w:t>
            </w:r>
            <w:r>
              <w:rPr>
                <w:rFonts w:ascii="Times New Roman" w:cs="Times New Roman" w:eastAsia="Times New Roman" w:hAnsi="Times New Roman"/>
                <w:color w:val="000000"/>
                <w:sz w:val="24"/>
                <w:szCs w:val="24"/>
              </w:rPr>
              <w:t xml:space="preserve"> delay time</w:t>
            </w: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000000" w:fill="ffff00"/>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Sunday</w:t>
            </w:r>
          </w:p>
        </w:tc>
        <w:tc>
          <w:tcPr>
            <w:tcW w:w="960" w:type="dxa"/>
            <w:tcBorders>
              <w:top w:val="nil"/>
              <w:left w:val="nil"/>
              <w:bottom w:val="nil"/>
              <w:right w:val="nil"/>
            </w:tcBorders>
            <w:shd w:val="clear" w:color="000000" w:fill="ffff00"/>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198,256</w:t>
            </w:r>
          </w:p>
        </w:tc>
        <w:tc>
          <w:tcPr>
            <w:tcW w:w="960" w:type="dxa"/>
            <w:tcBorders>
              <w:top w:val="nil"/>
              <w:left w:val="nil"/>
              <w:bottom w:val="nil"/>
              <w:right w:val="nil"/>
            </w:tcBorders>
            <w:shd w:val="clear" w:color="000000" w:fill="ffff00"/>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3,423</w:t>
            </w:r>
          </w:p>
        </w:tc>
        <w:tc>
          <w:tcPr>
            <w:tcW w:w="960" w:type="dxa"/>
            <w:tcBorders>
              <w:top w:val="nil"/>
              <w:left w:val="nil"/>
              <w:bottom w:val="nil"/>
              <w:right w:val="nil"/>
            </w:tcBorders>
            <w:shd w:val="clear" w:color="000000" w:fill="ffff00"/>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57.91878</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Monday</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198,250</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3,256</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60.88759</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Wednesday</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186,231</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2,953</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63.06502</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Saturday</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125,451</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2,862</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43.83333</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Friday</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119,356</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2,562</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46.58704</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Thursday</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85,025</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1,258</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67.58744</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Tuesday</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79,254</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956</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82.90167</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r>
        <w:tblPrEx/>
        <w:trPr>
          <w:trHeight w:val="300" w:hRule="atLeast"/>
        </w:trPr>
        <w:tc>
          <w:tcPr>
            <w:tcW w:w="1458"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grand total</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991,823</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17,270</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57.4304</w:t>
            </w:r>
          </w:p>
        </w:tc>
        <w:tc>
          <w:tcPr>
            <w:tcW w:w="960" w:type="dxa"/>
            <w:tcBorders>
              <w:top w:val="nil"/>
              <w:left w:val="nil"/>
              <w:bottom w:val="nil"/>
              <w:right w:val="nil"/>
            </w:tcBorders>
            <w:shd w:val="clear" w:color="auto" w:fill="auto"/>
            <w:noWrap/>
            <w:vAlign w:val="bottom"/>
            <w:hideMark/>
          </w:tcPr>
          <w:p>
            <w:pPr>
              <w:pStyle w:val="style0"/>
              <w:spacing w:after="0" w:lineRule="auto" w:line="480"/>
              <w:jc w:val="right"/>
              <w:rPr>
                <w:rFonts w:ascii="Times New Roman" w:cs="Times New Roman" w:eastAsia="Times New Roman" w:hAnsi="Times New Roman"/>
                <w:b/>
                <w:bCs/>
                <w:color w:val="000000"/>
                <w:sz w:val="24"/>
                <w:szCs w:val="24"/>
              </w:rPr>
            </w:pPr>
          </w:p>
        </w:tc>
        <w:tc>
          <w:tcPr>
            <w:tcW w:w="960" w:type="dxa"/>
            <w:tcBorders>
              <w:top w:val="nil"/>
              <w:left w:val="nil"/>
              <w:bottom w:val="nil"/>
              <w:right w:val="nil"/>
            </w:tcBorders>
            <w:shd w:val="clear" w:color="auto" w:fill="auto"/>
            <w:noWrap/>
            <w:vAlign w:val="bottom"/>
            <w:hideMark/>
          </w:tcPr>
          <w:p>
            <w:pPr>
              <w:pStyle w:val="style0"/>
              <w:spacing w:after="0" w:lineRule="auto" w:line="480"/>
              <w:rPr>
                <w:rFonts w:ascii="Times New Roman" w:cs="Times New Roman" w:eastAsia="Times New Roman" w:hAnsi="Times New Roman"/>
                <w:sz w:val="24"/>
                <w:szCs w:val="24"/>
              </w:rPr>
            </w:pPr>
          </w:p>
        </w:tc>
      </w:tr>
    </w:tbl>
    <w:p>
      <w:pPr>
        <w:pStyle w:val="style0"/>
        <w:spacing w:lineRule="auto" w:line="480"/>
        <w:rPr>
          <w:rFonts w:ascii="Times New Roman" w:cs="Times New Roman" w:hAnsi="Times New Roman"/>
          <w:sz w:val="24"/>
          <w:szCs w:val="24"/>
        </w:rPr>
      </w:pPr>
    </w:p>
    <w:tbl>
      <w:tblPr>
        <w:tblpPr w:leftFromText="180" w:rightFromText="180" w:topFromText="0" w:bottomFromText="0" w:vertAnchor="text" w:tblpXSpec="left" w:tblpY="1"/>
        <w:tblOverlap w:val="never"/>
        <w:tblW w:w="4876" w:type="dxa"/>
        <w:tblLook w:val="04A0" w:firstRow="1" w:lastRow="0" w:firstColumn="1" w:lastColumn="0" w:noHBand="0" w:noVBand="1"/>
      </w:tblPr>
      <w:tblGrid>
        <w:gridCol w:w="5092"/>
      </w:tblGrid>
      <w:tr>
        <w:trPr>
          <w:trHeight w:val="458" w:hRule="atLeast"/>
        </w:trPr>
        <w:tc>
          <w:tcPr>
            <w:tcW w:w="4876" w:type="dxa"/>
            <w:vMerge w:val="restart"/>
            <w:tcBorders>
              <w:top w:val="nil"/>
              <w:left w:val="nil"/>
              <w:bottom w:val="nil"/>
              <w:right w:val="nil"/>
            </w:tcBorders>
            <w:shd w:val="clear" w:color="auto" w:fill="auto"/>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Explanation of the above tables from the first one to the last.</w:t>
            </w:r>
          </w:p>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Tuesday was the standout day for the number of </w:t>
            </w:r>
            <w:r>
              <w:rPr>
                <w:rFonts w:ascii="Times New Roman" w:cs="Times New Roman" w:eastAsia="Times New Roman" w:hAnsi="Times New Roman"/>
                <w:color w:val="000000"/>
                <w:sz w:val="24"/>
                <w:szCs w:val="24"/>
              </w:rPr>
              <w:t xml:space="preserve">minutes delayed (nearly 293,256 </w:t>
            </w:r>
            <w:r>
              <w:rPr>
                <w:rFonts w:ascii="Times New Roman" w:cs="Times New Roman" w:eastAsia="Times New Roman" w:hAnsi="Times New Roman"/>
                <w:color w:val="000000"/>
                <w:sz w:val="24"/>
                <w:szCs w:val="24"/>
              </w:rPr>
              <w:t>to</w:t>
            </w:r>
            <w:r>
              <w:rPr>
                <w:rFonts w:ascii="Times New Roman" w:cs="Times New Roman" w:eastAsia="Times New Roman" w:hAnsi="Times New Roman"/>
                <w:color w:val="000000"/>
                <w:sz w:val="24"/>
                <w:szCs w:val="24"/>
              </w:rPr>
              <w:t>tal minutes). This makes up 20.44% of the total 1.434</w:t>
            </w:r>
            <w:r>
              <w:rPr>
                <w:rFonts w:ascii="Times New Roman" w:cs="Times New Roman" w:eastAsia="Times New Roman" w:hAnsi="Times New Roman"/>
                <w:color w:val="000000"/>
                <w:sz w:val="24"/>
                <w:szCs w:val="24"/>
              </w:rPr>
              <w:t>million delay minutes of the 2-months of data given. This day also had the highest concen</w:t>
            </w:r>
            <w:r>
              <w:rPr>
                <w:rFonts w:ascii="Times New Roman" w:cs="Times New Roman" w:eastAsia="Times New Roman" w:hAnsi="Times New Roman"/>
                <w:color w:val="000000"/>
                <w:sz w:val="24"/>
                <w:szCs w:val="24"/>
              </w:rPr>
              <w:t>tration of flights per day, 3564</w:t>
            </w:r>
            <w:r>
              <w:rPr>
                <w:rFonts w:ascii="Times New Roman" w:cs="Times New Roman" w:eastAsia="Times New Roman" w:hAnsi="Times New Roman"/>
                <w:color w:val="000000"/>
                <w:sz w:val="24"/>
                <w:szCs w:val="24"/>
              </w:rPr>
              <w:t xml:space="preserve"> on </w:t>
            </w:r>
            <w:r>
              <w:rPr>
                <w:rFonts w:ascii="Times New Roman" w:cs="Times New Roman" w:eastAsia="Times New Roman" w:hAnsi="Times New Roman"/>
                <w:color w:val="000000"/>
                <w:sz w:val="24"/>
                <w:szCs w:val="24"/>
              </w:rPr>
              <w:t>Tuesday’s</w:t>
            </w:r>
            <w:r>
              <w:rPr>
                <w:rFonts w:ascii="Times New Roman" w:cs="Times New Roman" w:eastAsia="Times New Roman" w:hAnsi="Times New Roman"/>
                <w:color w:val="000000"/>
                <w:sz w:val="24"/>
                <w:szCs w:val="24"/>
              </w:rPr>
              <w:t xml:space="preserve"> in July and August.</w:t>
            </w:r>
          </w:p>
          <w:p>
            <w:pPr>
              <w:pStyle w:val="style0"/>
              <w:spacing w:after="0" w:lineRule="auto" w:line="480"/>
              <w:rPr>
                <w:rFonts w:ascii="Times New Roman" w:cs="Times New Roman" w:eastAsia="Times New Roman" w:hAnsi="Times New Roman"/>
                <w:color w:val="000000"/>
                <w:sz w:val="24"/>
                <w:szCs w:val="24"/>
              </w:rPr>
            </w:pPr>
          </w:p>
          <w:tbl>
            <w:tblPr>
              <w:tblW w:w="4660" w:type="dxa"/>
              <w:tblLook w:val="04A0" w:firstRow="1" w:lastRow="0" w:firstColumn="1" w:lastColumn="0" w:noHBand="0" w:noVBand="1"/>
            </w:tblPr>
            <w:tblGrid>
              <w:gridCol w:w="4876"/>
            </w:tblGrid>
            <w:tr>
              <w:trPr>
                <w:trHeight w:val="458" w:hRule="atLeast"/>
              </w:trPr>
              <w:tc>
                <w:tcPr>
                  <w:tcW w:w="4660" w:type="dxa"/>
                  <w:vMerge w:val="restart"/>
                  <w:tcBorders>
                    <w:top w:val="nil"/>
                    <w:left w:val="nil"/>
                    <w:bottom w:val="nil"/>
                    <w:right w:val="nil"/>
                  </w:tcBorders>
                  <w:shd w:val="clear" w:color="auto" w:fill="auto"/>
                  <w:hideMark/>
                </w:tcPr>
                <w:p>
                  <w:pPr>
                    <w:pStyle w:val="style0"/>
                    <w:framePr w:hSpace="180" w:wrap="around" w:hAnchor="text" w:vAnchor="text" w:y="1"/>
                    <w:spacing w:after="0" w:lineRule="auto" w:line="480"/>
                    <w:suppressOverlap/>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In July, Tuesday had the highest number of delays total and the highest average time delay per flight. Average delay was nearly 1 </w:t>
                  </w:r>
                  <w:r>
                    <w:rPr>
                      <w:rFonts w:ascii="Times New Roman" w:cs="Times New Roman" w:eastAsia="Times New Roman" w:hAnsi="Times New Roman"/>
                      <w:color w:val="000000"/>
                      <w:sz w:val="24"/>
                      <w:szCs w:val="24"/>
                    </w:rPr>
                    <w:t>hour and 2</w:t>
                  </w:r>
                  <w:r>
                    <w:rPr>
                      <w:rFonts w:ascii="Times New Roman" w:cs="Times New Roman" w:eastAsia="Times New Roman" w:hAnsi="Times New Roman"/>
                      <w:color w:val="000000"/>
                      <w:sz w:val="24"/>
                      <w:szCs w:val="24"/>
                    </w:rPr>
                    <w:t>0 minutes. The best (lowest delay day) in the m</w:t>
                  </w:r>
                  <w:r>
                    <w:rPr>
                      <w:rFonts w:ascii="Times New Roman" w:cs="Times New Roman" w:eastAsia="Times New Roman" w:hAnsi="Times New Roman"/>
                      <w:color w:val="000000"/>
                      <w:sz w:val="24"/>
                      <w:szCs w:val="24"/>
                    </w:rPr>
                    <w:t>onth to fly in August was Saturday</w:t>
                  </w:r>
                  <w:r>
                    <w:rPr>
                      <w:rFonts w:ascii="Times New Roman" w:cs="Times New Roman" w:eastAsia="Times New Roman" w:hAnsi="Times New Roman"/>
                      <w:color w:val="000000"/>
                      <w:sz w:val="24"/>
                      <w:szCs w:val="24"/>
                    </w:rPr>
                    <w:t>, with an average delay time of less than one hour.</w:t>
                  </w:r>
                </w:p>
                <w:p>
                  <w:pPr>
                    <w:pStyle w:val="style0"/>
                    <w:framePr w:hSpace="180" w:wrap="around" w:hAnchor="text" w:vAnchor="text" w:y="1"/>
                    <w:spacing w:after="0" w:lineRule="auto" w:line="480"/>
                    <w:suppressOverlap/>
                    <w:rPr>
                      <w:rFonts w:ascii="Times New Roman" w:cs="Times New Roman" w:eastAsia="Times New Roman" w:hAnsi="Times New Roman"/>
                      <w:color w:val="000000"/>
                      <w:sz w:val="24"/>
                      <w:szCs w:val="24"/>
                    </w:rPr>
                  </w:pPr>
                </w:p>
                <w:tbl>
                  <w:tblPr>
                    <w:tblW w:w="4660" w:type="dxa"/>
                    <w:tblLook w:val="04A0" w:firstRow="1" w:lastRow="0" w:firstColumn="1" w:lastColumn="0" w:noHBand="0" w:noVBand="1"/>
                  </w:tblPr>
                  <w:tblGrid>
                    <w:gridCol w:w="4660"/>
                  </w:tblGrid>
                  <w:tr>
                    <w:trPr>
                      <w:trHeight w:val="552" w:hRule="atLeast"/>
                    </w:trPr>
                    <w:tc>
                      <w:tcPr>
                        <w:tcW w:w="4660" w:type="dxa"/>
                        <w:vMerge w:val="restart"/>
                        <w:tcBorders>
                          <w:top w:val="nil"/>
                          <w:left w:val="nil"/>
                          <w:bottom w:val="nil"/>
                          <w:right w:val="nil"/>
                        </w:tcBorders>
                        <w:shd w:val="clear" w:color="auto" w:fill="auto"/>
                        <w:hideMark/>
                      </w:tcPr>
                      <w:p>
                        <w:pPr>
                          <w:pStyle w:val="style0"/>
                          <w:framePr w:hSpace="180" w:wrap="around" w:hAnchor="text" w:vAnchor="text" w:y="1"/>
                          <w:spacing w:after="0" w:lineRule="auto" w:line="480"/>
                          <w:suppressOverlap/>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In August, Sunday had the highest number of flights, and the highest number of delay minutes. Wednesday although was the day with the highest average delay time per flight. This is partially because of the ratio</w:t>
                        </w:r>
                        <w:r>
                          <w:rPr>
                            <w:rFonts w:ascii="Times New Roman" w:cs="Times New Roman" w:eastAsia="Times New Roman" w:hAnsi="Times New Roman"/>
                            <w:color w:val="000000"/>
                            <w:sz w:val="24"/>
                            <w:szCs w:val="24"/>
                          </w:rPr>
                          <w:t xml:space="preserve"> from flights to delay minutes.</w:t>
                        </w:r>
                      </w:p>
                    </w:tc>
                  </w:tr>
                  <w:tr>
                    <w:tblPrEx/>
                    <w:trPr>
                      <w:trHeight w:val="552" w:hRule="atLeast"/>
                    </w:trPr>
                    <w:tc>
                      <w:tcPr>
                        <w:tcW w:w="4660" w:type="dxa"/>
                        <w:vMerge w:val="continue"/>
                        <w:tcBorders>
                          <w:top w:val="nil"/>
                          <w:left w:val="nil"/>
                          <w:bottom w:val="nil"/>
                          <w:right w:val="nil"/>
                        </w:tcBorders>
                        <w:vAlign w:val="center"/>
                        <w:hideMark/>
                      </w:tcPr>
                      <w:p>
                        <w:pPr>
                          <w:pStyle w:val="style0"/>
                          <w:framePr w:hSpace="180" w:wrap="around" w:hAnchor="text" w:vAnchor="text" w:y="1"/>
                          <w:spacing w:after="0" w:lineRule="auto" w:line="480"/>
                          <w:suppressOverlap/>
                          <w:rPr>
                            <w:rFonts w:ascii="Times New Roman" w:cs="Times New Roman" w:eastAsia="Times New Roman" w:hAnsi="Times New Roman"/>
                            <w:color w:val="000000"/>
                            <w:sz w:val="24"/>
                            <w:szCs w:val="24"/>
                          </w:rPr>
                        </w:pPr>
                      </w:p>
                    </w:tc>
                  </w:tr>
                  <w:tr>
                    <w:tblPrEx/>
                    <w:trPr>
                      <w:trHeight w:val="552" w:hRule="atLeast"/>
                    </w:trPr>
                    <w:tc>
                      <w:tcPr>
                        <w:tcW w:w="4660" w:type="dxa"/>
                        <w:vMerge w:val="continue"/>
                        <w:tcBorders>
                          <w:top w:val="nil"/>
                          <w:left w:val="nil"/>
                          <w:bottom w:val="nil"/>
                          <w:right w:val="nil"/>
                        </w:tcBorders>
                        <w:vAlign w:val="center"/>
                        <w:hideMark/>
                      </w:tcPr>
                      <w:p>
                        <w:pPr>
                          <w:pStyle w:val="style0"/>
                          <w:framePr w:hSpace="180" w:wrap="around" w:hAnchor="text" w:vAnchor="text" w:y="1"/>
                          <w:spacing w:after="0" w:lineRule="auto" w:line="480"/>
                          <w:suppressOverlap/>
                          <w:rPr>
                            <w:rFonts w:ascii="Times New Roman" w:cs="Times New Roman" w:eastAsia="Times New Roman" w:hAnsi="Times New Roman"/>
                            <w:color w:val="000000"/>
                            <w:sz w:val="24"/>
                            <w:szCs w:val="24"/>
                          </w:rPr>
                        </w:pPr>
                      </w:p>
                    </w:tc>
                  </w:tr>
                  <w:tr>
                    <w:tblPrEx/>
                    <w:trPr>
                      <w:trHeight w:val="552" w:hRule="atLeast"/>
                    </w:trPr>
                    <w:tc>
                      <w:tcPr>
                        <w:tcW w:w="4660" w:type="dxa"/>
                        <w:vMerge w:val="continue"/>
                        <w:tcBorders>
                          <w:top w:val="nil"/>
                          <w:left w:val="nil"/>
                          <w:bottom w:val="nil"/>
                          <w:right w:val="nil"/>
                        </w:tcBorders>
                        <w:vAlign w:val="center"/>
                        <w:hideMark/>
                      </w:tcPr>
                      <w:p>
                        <w:pPr>
                          <w:pStyle w:val="style0"/>
                          <w:framePr w:hSpace="180" w:wrap="around" w:hAnchor="text" w:vAnchor="text" w:y="1"/>
                          <w:spacing w:after="0" w:lineRule="auto" w:line="480"/>
                          <w:suppressOverlap/>
                          <w:rPr>
                            <w:rFonts w:ascii="Times New Roman" w:cs="Times New Roman" w:eastAsia="Times New Roman" w:hAnsi="Times New Roman"/>
                            <w:color w:val="000000"/>
                            <w:sz w:val="24"/>
                            <w:szCs w:val="24"/>
                          </w:rPr>
                        </w:pPr>
                      </w:p>
                    </w:tc>
                  </w:tr>
                  <w:tr>
                    <w:tblPrEx/>
                    <w:trPr>
                      <w:trHeight w:val="552" w:hRule="atLeast"/>
                    </w:trPr>
                    <w:tc>
                      <w:tcPr>
                        <w:tcW w:w="4660" w:type="dxa"/>
                        <w:vMerge w:val="continue"/>
                        <w:tcBorders>
                          <w:top w:val="nil"/>
                          <w:left w:val="nil"/>
                          <w:bottom w:val="nil"/>
                          <w:right w:val="nil"/>
                        </w:tcBorders>
                        <w:vAlign w:val="center"/>
                        <w:hideMark/>
                      </w:tcPr>
                      <w:p>
                        <w:pPr>
                          <w:pStyle w:val="style0"/>
                          <w:framePr w:hSpace="180" w:wrap="around" w:hAnchor="text" w:vAnchor="text" w:y="1"/>
                          <w:spacing w:after="0" w:lineRule="auto" w:line="480"/>
                          <w:suppressOverlap/>
                          <w:rPr>
                            <w:rFonts w:ascii="Times New Roman" w:cs="Times New Roman" w:eastAsia="Times New Roman" w:hAnsi="Times New Roman"/>
                            <w:color w:val="000000"/>
                            <w:sz w:val="24"/>
                            <w:szCs w:val="24"/>
                          </w:rPr>
                        </w:pPr>
                      </w:p>
                    </w:tc>
                  </w:tr>
                  <w:tr>
                    <w:tblPrEx/>
                    <w:trPr>
                      <w:trHeight w:val="552" w:hRule="atLeast"/>
                    </w:trPr>
                    <w:tc>
                      <w:tcPr>
                        <w:tcW w:w="4660" w:type="dxa"/>
                        <w:vMerge w:val="continue"/>
                        <w:tcBorders>
                          <w:top w:val="nil"/>
                          <w:left w:val="nil"/>
                          <w:bottom w:val="nil"/>
                          <w:right w:val="nil"/>
                        </w:tcBorders>
                        <w:vAlign w:val="center"/>
                        <w:hideMark/>
                      </w:tcPr>
                      <w:p>
                        <w:pPr>
                          <w:pStyle w:val="style0"/>
                          <w:framePr w:hSpace="180" w:wrap="around" w:hAnchor="text" w:vAnchor="text" w:y="1"/>
                          <w:spacing w:after="0" w:lineRule="auto" w:line="480"/>
                          <w:suppressOverlap/>
                          <w:rPr>
                            <w:rFonts w:ascii="Times New Roman" w:cs="Times New Roman" w:eastAsia="Times New Roman" w:hAnsi="Times New Roman"/>
                            <w:color w:val="000000"/>
                            <w:sz w:val="24"/>
                            <w:szCs w:val="24"/>
                          </w:rPr>
                        </w:pPr>
                      </w:p>
                    </w:tc>
                  </w:tr>
                  <w:tr>
                    <w:tblPrEx/>
                    <w:trPr>
                      <w:trHeight w:val="552" w:hRule="atLeast"/>
                    </w:trPr>
                    <w:tc>
                      <w:tcPr>
                        <w:tcW w:w="4660" w:type="dxa"/>
                        <w:vMerge w:val="continue"/>
                        <w:tcBorders>
                          <w:top w:val="nil"/>
                          <w:left w:val="nil"/>
                          <w:bottom w:val="nil"/>
                          <w:right w:val="nil"/>
                        </w:tcBorders>
                        <w:vAlign w:val="center"/>
                        <w:hideMark/>
                      </w:tcPr>
                      <w:p>
                        <w:pPr>
                          <w:pStyle w:val="style0"/>
                          <w:framePr w:hSpace="180" w:wrap="around" w:hAnchor="text" w:vAnchor="text" w:y="1"/>
                          <w:spacing w:after="0" w:lineRule="auto" w:line="480"/>
                          <w:suppressOverlap/>
                          <w:rPr>
                            <w:rFonts w:ascii="Times New Roman" w:cs="Times New Roman" w:eastAsia="Times New Roman" w:hAnsi="Times New Roman"/>
                            <w:color w:val="000000"/>
                            <w:sz w:val="24"/>
                            <w:szCs w:val="24"/>
                          </w:rPr>
                        </w:pPr>
                      </w:p>
                    </w:tc>
                  </w:tr>
                  <w:tr>
                    <w:tblPrEx/>
                    <w:trPr>
                      <w:trHeight w:val="552" w:hRule="atLeast"/>
                    </w:trPr>
                    <w:tc>
                      <w:tcPr>
                        <w:tcW w:w="4660" w:type="dxa"/>
                        <w:vMerge w:val="continue"/>
                        <w:tcBorders>
                          <w:top w:val="nil"/>
                          <w:left w:val="nil"/>
                          <w:bottom w:val="nil"/>
                          <w:right w:val="nil"/>
                        </w:tcBorders>
                        <w:vAlign w:val="center"/>
                        <w:hideMark/>
                      </w:tcPr>
                      <w:p>
                        <w:pPr>
                          <w:pStyle w:val="style0"/>
                          <w:framePr w:hSpace="180" w:wrap="around" w:hAnchor="text" w:vAnchor="text" w:y="1"/>
                          <w:spacing w:after="0" w:lineRule="auto" w:line="480"/>
                          <w:suppressOverlap/>
                          <w:rPr>
                            <w:rFonts w:ascii="Times New Roman" w:cs="Times New Roman" w:eastAsia="Times New Roman" w:hAnsi="Times New Roman"/>
                            <w:color w:val="000000"/>
                            <w:sz w:val="24"/>
                            <w:szCs w:val="24"/>
                          </w:rPr>
                        </w:pPr>
                      </w:p>
                    </w:tc>
                  </w:tr>
                </w:tbl>
                <w:p>
                  <w:pPr>
                    <w:pStyle w:val="style0"/>
                    <w:framePr w:hSpace="180" w:wrap="around" w:hAnchor="text" w:vAnchor="text" w:y="1"/>
                    <w:spacing w:after="0" w:lineRule="auto" w:line="480"/>
                    <w:suppressOverlap/>
                    <w:rPr>
                      <w:rFonts w:ascii="Times New Roman" w:cs="Times New Roman" w:eastAsia="Times New Roman" w:hAnsi="Times New Roman"/>
                      <w:color w:val="000000"/>
                      <w:sz w:val="24"/>
                      <w:szCs w:val="24"/>
                    </w:rPr>
                  </w:pPr>
                </w:p>
              </w:tc>
            </w:tr>
            <w:tr>
              <w:tblPrEx/>
              <w:trPr>
                <w:trHeight w:val="552" w:hRule="atLeast"/>
              </w:trPr>
              <w:tc>
                <w:tcPr>
                  <w:tcW w:w="4660" w:type="dxa"/>
                  <w:vMerge w:val="continue"/>
                  <w:tcBorders>
                    <w:top w:val="nil"/>
                    <w:left w:val="nil"/>
                    <w:bottom w:val="nil"/>
                    <w:right w:val="nil"/>
                  </w:tcBorders>
                  <w:vAlign w:val="center"/>
                  <w:hideMark/>
                </w:tcPr>
                <w:p>
                  <w:pPr>
                    <w:pStyle w:val="style0"/>
                    <w:framePr w:hSpace="180" w:wrap="around" w:hAnchor="text" w:vAnchor="text" w:y="1"/>
                    <w:spacing w:after="0" w:lineRule="auto" w:line="480"/>
                    <w:suppressOverlap/>
                    <w:rPr>
                      <w:rFonts w:ascii="Times New Roman" w:cs="Times New Roman" w:eastAsia="Times New Roman" w:hAnsi="Times New Roman"/>
                      <w:color w:val="000000"/>
                      <w:sz w:val="24"/>
                      <w:szCs w:val="24"/>
                    </w:rPr>
                  </w:pPr>
                </w:p>
              </w:tc>
            </w:tr>
            <w:tr>
              <w:tblPrEx/>
              <w:trPr>
                <w:trHeight w:val="552" w:hRule="atLeast"/>
              </w:trPr>
              <w:tc>
                <w:tcPr>
                  <w:tcW w:w="4660" w:type="dxa"/>
                  <w:vMerge w:val="continue"/>
                  <w:tcBorders>
                    <w:top w:val="nil"/>
                    <w:left w:val="nil"/>
                    <w:bottom w:val="nil"/>
                    <w:right w:val="nil"/>
                  </w:tcBorders>
                  <w:vAlign w:val="center"/>
                  <w:hideMark/>
                </w:tcPr>
                <w:p>
                  <w:pPr>
                    <w:pStyle w:val="style0"/>
                    <w:framePr w:hSpace="180" w:wrap="around" w:hAnchor="text" w:vAnchor="text" w:y="1"/>
                    <w:spacing w:after="0" w:lineRule="auto" w:line="480"/>
                    <w:suppressOverlap/>
                    <w:rPr>
                      <w:rFonts w:ascii="Times New Roman" w:cs="Times New Roman" w:eastAsia="Times New Roman" w:hAnsi="Times New Roman"/>
                      <w:color w:val="000000"/>
                      <w:sz w:val="24"/>
                      <w:szCs w:val="24"/>
                    </w:rPr>
                  </w:pPr>
                </w:p>
              </w:tc>
            </w:tr>
            <w:tr>
              <w:tblPrEx/>
              <w:trPr>
                <w:trHeight w:val="552" w:hRule="atLeast"/>
              </w:trPr>
              <w:tc>
                <w:tcPr>
                  <w:tcW w:w="4660" w:type="dxa"/>
                  <w:vMerge w:val="continue"/>
                  <w:tcBorders>
                    <w:top w:val="nil"/>
                    <w:left w:val="nil"/>
                    <w:bottom w:val="nil"/>
                    <w:right w:val="nil"/>
                  </w:tcBorders>
                  <w:vAlign w:val="center"/>
                  <w:hideMark/>
                </w:tcPr>
                <w:p>
                  <w:pPr>
                    <w:pStyle w:val="style0"/>
                    <w:framePr w:hSpace="180" w:wrap="around" w:hAnchor="text" w:vAnchor="text" w:y="1"/>
                    <w:spacing w:after="0" w:lineRule="auto" w:line="480"/>
                    <w:suppressOverlap/>
                    <w:rPr>
                      <w:rFonts w:ascii="Times New Roman" w:cs="Times New Roman" w:eastAsia="Times New Roman" w:hAnsi="Times New Roman"/>
                      <w:color w:val="000000"/>
                      <w:sz w:val="24"/>
                      <w:szCs w:val="24"/>
                    </w:rPr>
                  </w:pPr>
                </w:p>
              </w:tc>
            </w:tr>
            <w:tr>
              <w:tblPrEx/>
              <w:trPr>
                <w:trHeight w:val="552" w:hRule="atLeast"/>
              </w:trPr>
              <w:tc>
                <w:tcPr>
                  <w:tcW w:w="4660" w:type="dxa"/>
                  <w:vMerge w:val="continue"/>
                  <w:tcBorders>
                    <w:top w:val="nil"/>
                    <w:left w:val="nil"/>
                    <w:bottom w:val="nil"/>
                    <w:right w:val="nil"/>
                  </w:tcBorders>
                  <w:vAlign w:val="center"/>
                  <w:hideMark/>
                </w:tcPr>
                <w:p>
                  <w:pPr>
                    <w:pStyle w:val="style0"/>
                    <w:framePr w:hSpace="180" w:wrap="around" w:hAnchor="text" w:vAnchor="text" w:y="1"/>
                    <w:spacing w:after="0" w:lineRule="auto" w:line="480"/>
                    <w:suppressOverlap/>
                    <w:rPr>
                      <w:rFonts w:ascii="Times New Roman" w:cs="Times New Roman" w:eastAsia="Times New Roman" w:hAnsi="Times New Roman"/>
                      <w:color w:val="000000"/>
                      <w:sz w:val="24"/>
                      <w:szCs w:val="24"/>
                    </w:rPr>
                  </w:pPr>
                </w:p>
              </w:tc>
            </w:tr>
            <w:tr>
              <w:tblPrEx/>
              <w:trPr>
                <w:trHeight w:val="552" w:hRule="atLeast"/>
              </w:trPr>
              <w:tc>
                <w:tcPr>
                  <w:tcW w:w="4660" w:type="dxa"/>
                  <w:vMerge w:val="continue"/>
                  <w:tcBorders>
                    <w:top w:val="nil"/>
                    <w:left w:val="nil"/>
                    <w:bottom w:val="nil"/>
                    <w:right w:val="nil"/>
                  </w:tcBorders>
                  <w:vAlign w:val="center"/>
                  <w:hideMark/>
                </w:tcPr>
                <w:p>
                  <w:pPr>
                    <w:pStyle w:val="style0"/>
                    <w:framePr w:hSpace="180" w:wrap="around" w:hAnchor="text" w:vAnchor="text" w:y="1"/>
                    <w:spacing w:after="0" w:lineRule="auto" w:line="480"/>
                    <w:suppressOverlap/>
                    <w:rPr>
                      <w:rFonts w:ascii="Times New Roman" w:cs="Times New Roman" w:eastAsia="Times New Roman" w:hAnsi="Times New Roman"/>
                      <w:color w:val="000000"/>
                      <w:sz w:val="24"/>
                      <w:szCs w:val="24"/>
                    </w:rPr>
                  </w:pPr>
                </w:p>
              </w:tc>
            </w:tr>
          </w:tbl>
          <w:p>
            <w:pPr>
              <w:pStyle w:val="style0"/>
              <w:spacing w:after="0" w:lineRule="auto" w:line="480"/>
              <w:rPr>
                <w:rFonts w:ascii="Times New Roman" w:cs="Times New Roman" w:eastAsia="Times New Roman" w:hAnsi="Times New Roman"/>
                <w:color w:val="000000"/>
                <w:sz w:val="24"/>
                <w:szCs w:val="24"/>
              </w:rPr>
            </w:pPr>
          </w:p>
        </w:tc>
      </w:tr>
      <w:tr>
        <w:tblPrEx/>
        <w:trPr>
          <w:trHeight w:val="552" w:hRule="atLeast"/>
        </w:trPr>
        <w:tc>
          <w:tcPr>
            <w:tcW w:w="4876" w:type="dxa"/>
            <w:vMerge w:val="continue"/>
            <w:tcBorders>
              <w:top w:val="nil"/>
              <w:left w:val="nil"/>
              <w:bottom w:val="nil"/>
              <w:right w:val="nil"/>
            </w:tcBorders>
            <w:vAlign w:val="center"/>
            <w:hideMark/>
          </w:tcPr>
          <w:p>
            <w:pPr>
              <w:pStyle w:val="style0"/>
              <w:spacing w:after="0" w:lineRule="auto" w:line="480"/>
              <w:rPr>
                <w:rFonts w:ascii="Times New Roman" w:cs="Times New Roman" w:eastAsia="Times New Roman" w:hAnsi="Times New Roman"/>
                <w:color w:val="000000"/>
                <w:sz w:val="24"/>
                <w:szCs w:val="24"/>
              </w:rPr>
            </w:pPr>
          </w:p>
        </w:tc>
      </w:tr>
      <w:tr>
        <w:tblPrEx/>
        <w:trPr>
          <w:trHeight w:val="552" w:hRule="atLeast"/>
        </w:trPr>
        <w:tc>
          <w:tcPr>
            <w:tcW w:w="4876" w:type="dxa"/>
            <w:vMerge w:val="continue"/>
            <w:tcBorders>
              <w:top w:val="nil"/>
              <w:left w:val="nil"/>
              <w:bottom w:val="nil"/>
              <w:right w:val="nil"/>
            </w:tcBorders>
            <w:vAlign w:val="center"/>
            <w:hideMark/>
          </w:tcPr>
          <w:p>
            <w:pPr>
              <w:pStyle w:val="style0"/>
              <w:spacing w:after="0" w:lineRule="auto" w:line="480"/>
              <w:rPr>
                <w:rFonts w:ascii="Times New Roman" w:cs="Times New Roman" w:eastAsia="Times New Roman" w:hAnsi="Times New Roman"/>
                <w:color w:val="000000"/>
                <w:sz w:val="24"/>
                <w:szCs w:val="24"/>
              </w:rPr>
            </w:pPr>
          </w:p>
        </w:tc>
      </w:tr>
      <w:tr>
        <w:tblPrEx/>
        <w:trPr>
          <w:trHeight w:val="552" w:hRule="atLeast"/>
        </w:trPr>
        <w:tc>
          <w:tcPr>
            <w:tcW w:w="4876" w:type="dxa"/>
            <w:vMerge w:val="continue"/>
            <w:tcBorders>
              <w:top w:val="nil"/>
              <w:left w:val="nil"/>
              <w:bottom w:val="nil"/>
              <w:right w:val="nil"/>
            </w:tcBorders>
            <w:vAlign w:val="center"/>
            <w:hideMark/>
          </w:tcPr>
          <w:p>
            <w:pPr>
              <w:pStyle w:val="style0"/>
              <w:spacing w:after="0" w:lineRule="auto" w:line="480"/>
              <w:rPr>
                <w:rFonts w:ascii="Times New Roman" w:cs="Times New Roman" w:eastAsia="Times New Roman" w:hAnsi="Times New Roman"/>
                <w:color w:val="000000"/>
                <w:sz w:val="24"/>
                <w:szCs w:val="24"/>
              </w:rPr>
            </w:pPr>
          </w:p>
        </w:tc>
      </w:tr>
      <w:tr>
        <w:tblPrEx/>
        <w:trPr>
          <w:trHeight w:val="552" w:hRule="atLeast"/>
        </w:trPr>
        <w:tc>
          <w:tcPr>
            <w:tcW w:w="4876" w:type="dxa"/>
            <w:vMerge w:val="continue"/>
            <w:tcBorders>
              <w:top w:val="nil"/>
              <w:left w:val="nil"/>
              <w:bottom w:val="nil"/>
              <w:right w:val="nil"/>
            </w:tcBorders>
            <w:vAlign w:val="center"/>
            <w:hideMark/>
          </w:tcPr>
          <w:p>
            <w:pPr>
              <w:pStyle w:val="style0"/>
              <w:spacing w:after="0" w:lineRule="auto" w:line="480"/>
              <w:rPr>
                <w:rFonts w:ascii="Times New Roman" w:cs="Times New Roman" w:eastAsia="Times New Roman" w:hAnsi="Times New Roman"/>
                <w:color w:val="000000"/>
                <w:sz w:val="24"/>
                <w:szCs w:val="24"/>
              </w:rPr>
            </w:pPr>
          </w:p>
        </w:tc>
      </w:tr>
      <w:tr>
        <w:tblPrEx/>
        <w:trPr>
          <w:trHeight w:val="552" w:hRule="atLeast"/>
        </w:trPr>
        <w:tc>
          <w:tcPr>
            <w:tcW w:w="4876" w:type="dxa"/>
            <w:vMerge w:val="continue"/>
            <w:tcBorders>
              <w:top w:val="nil"/>
              <w:left w:val="nil"/>
              <w:bottom w:val="nil"/>
              <w:right w:val="nil"/>
            </w:tcBorders>
            <w:vAlign w:val="center"/>
            <w:hideMark/>
          </w:tcPr>
          <w:p>
            <w:pPr>
              <w:pStyle w:val="style0"/>
              <w:spacing w:after="0" w:lineRule="auto" w:line="480"/>
              <w:rPr>
                <w:rFonts w:ascii="Times New Roman" w:cs="Times New Roman" w:eastAsia="Times New Roman" w:hAnsi="Times New Roman"/>
                <w:color w:val="000000"/>
                <w:sz w:val="24"/>
                <w:szCs w:val="24"/>
              </w:rPr>
            </w:pPr>
          </w:p>
        </w:tc>
      </w:tr>
      <w:tr>
        <w:tblPrEx/>
        <w:trPr>
          <w:trHeight w:val="552" w:hRule="atLeast"/>
        </w:trPr>
        <w:tc>
          <w:tcPr>
            <w:tcW w:w="4876" w:type="dxa"/>
            <w:vMerge w:val="continue"/>
            <w:tcBorders>
              <w:top w:val="nil"/>
              <w:left w:val="nil"/>
              <w:bottom w:val="nil"/>
              <w:right w:val="nil"/>
            </w:tcBorders>
            <w:vAlign w:val="center"/>
            <w:hideMark/>
          </w:tcPr>
          <w:p>
            <w:pPr>
              <w:pStyle w:val="style0"/>
              <w:spacing w:after="0" w:lineRule="auto" w:line="480"/>
              <w:rPr>
                <w:rFonts w:ascii="Times New Roman" w:cs="Times New Roman" w:eastAsia="Times New Roman" w:hAnsi="Times New Roman"/>
                <w:color w:val="000000"/>
                <w:sz w:val="24"/>
                <w:szCs w:val="24"/>
              </w:rPr>
            </w:pPr>
          </w:p>
        </w:tc>
      </w:tr>
      <w:tr>
        <w:tblPrEx/>
        <w:trPr>
          <w:trHeight w:val="552" w:hRule="atLeast"/>
        </w:trPr>
        <w:tc>
          <w:tcPr>
            <w:tcW w:w="4876" w:type="dxa"/>
            <w:vMerge w:val="continue"/>
            <w:tcBorders>
              <w:top w:val="nil"/>
              <w:left w:val="nil"/>
              <w:bottom w:val="nil"/>
              <w:right w:val="nil"/>
            </w:tcBorders>
            <w:vAlign w:val="center"/>
            <w:hideMark/>
          </w:tcPr>
          <w:p>
            <w:pPr>
              <w:pStyle w:val="style0"/>
              <w:spacing w:after="0" w:lineRule="auto" w:line="480"/>
              <w:rPr>
                <w:rFonts w:ascii="Times New Roman" w:cs="Times New Roman" w:eastAsia="Times New Roman" w:hAnsi="Times New Roman"/>
                <w:color w:val="000000"/>
                <w:sz w:val="24"/>
                <w:szCs w:val="24"/>
              </w:rPr>
            </w:pPr>
          </w:p>
        </w:tc>
      </w:tr>
      <w:tr>
        <w:tblPrEx/>
        <w:trPr>
          <w:trHeight w:val="552" w:hRule="atLeast"/>
        </w:trPr>
        <w:tc>
          <w:tcPr>
            <w:tcW w:w="4876" w:type="dxa"/>
            <w:vMerge w:val="continue"/>
            <w:tcBorders>
              <w:top w:val="nil"/>
              <w:left w:val="nil"/>
              <w:bottom w:val="nil"/>
              <w:right w:val="nil"/>
            </w:tcBorders>
            <w:shd w:val="clear" w:color="auto" w:fill="auto"/>
            <w:vAlign w:val="center"/>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In July, Tuesday had the highest number of delays total and the highest average time delay per flight. Average delay was nearly 1 hr and 10 minutes. The best (lowest delay day) in the month to fly in August was Friday, with an average delay time of less than one hour.</w:t>
            </w:r>
          </w:p>
        </w:tc>
      </w:tr>
      <w:tr>
        <w:tblPrEx/>
        <w:trPr>
          <w:trHeight w:val="552" w:hRule="atLeast"/>
        </w:trPr>
        <w:tc>
          <w:tcPr>
            <w:tcW w:w="4876" w:type="dxa"/>
            <w:vMerge w:val="continue"/>
            <w:tcBorders>
              <w:top w:val="nil"/>
              <w:left w:val="nil"/>
              <w:bottom w:val="nil"/>
              <w:right w:val="nil"/>
            </w:tcBorders>
            <w:vAlign w:val="center"/>
            <w:hideMark/>
          </w:tcPr>
          <w:p>
            <w:pPr>
              <w:pStyle w:val="style0"/>
              <w:spacing w:after="0" w:lineRule="auto" w:line="480"/>
              <w:rPr>
                <w:rFonts w:ascii="Times New Roman" w:cs="Times New Roman" w:eastAsia="Times New Roman" w:hAnsi="Times New Roman"/>
                <w:color w:val="000000"/>
                <w:sz w:val="24"/>
                <w:szCs w:val="24"/>
              </w:rPr>
            </w:pPr>
          </w:p>
        </w:tc>
      </w:tr>
      <w:tr>
        <w:tblPrEx/>
        <w:trPr>
          <w:trHeight w:val="552" w:hRule="atLeast"/>
        </w:trPr>
        <w:tc>
          <w:tcPr>
            <w:tcW w:w="4876" w:type="dxa"/>
            <w:vMerge w:val="continue"/>
            <w:tcBorders>
              <w:top w:val="nil"/>
              <w:left w:val="nil"/>
              <w:bottom w:val="nil"/>
              <w:right w:val="nil"/>
            </w:tcBorders>
            <w:vAlign w:val="center"/>
            <w:hideMark/>
          </w:tcPr>
          <w:p>
            <w:pPr>
              <w:pStyle w:val="style0"/>
              <w:spacing w:after="0" w:lineRule="auto" w:line="480"/>
              <w:rPr>
                <w:rFonts w:ascii="Times New Roman" w:cs="Times New Roman" w:eastAsia="Times New Roman" w:hAnsi="Times New Roman"/>
                <w:color w:val="000000"/>
                <w:sz w:val="24"/>
                <w:szCs w:val="24"/>
              </w:rPr>
            </w:pPr>
          </w:p>
        </w:tc>
      </w:tr>
      <w:tr>
        <w:tblPrEx/>
        <w:trPr>
          <w:trHeight w:val="552" w:hRule="atLeast"/>
        </w:trPr>
        <w:tc>
          <w:tcPr>
            <w:tcW w:w="4876" w:type="dxa"/>
            <w:vMerge w:val="continue"/>
            <w:tcBorders>
              <w:top w:val="nil"/>
              <w:left w:val="nil"/>
              <w:bottom w:val="nil"/>
              <w:right w:val="nil"/>
            </w:tcBorders>
            <w:vAlign w:val="center"/>
            <w:hideMark/>
          </w:tcPr>
          <w:p>
            <w:pPr>
              <w:pStyle w:val="style0"/>
              <w:spacing w:after="0" w:lineRule="auto" w:line="480"/>
              <w:rPr>
                <w:rFonts w:ascii="Times New Roman" w:cs="Times New Roman" w:eastAsia="Times New Roman" w:hAnsi="Times New Roman"/>
                <w:color w:val="000000"/>
                <w:sz w:val="24"/>
                <w:szCs w:val="24"/>
              </w:rPr>
            </w:pPr>
          </w:p>
        </w:tc>
      </w:tr>
      <w:tr>
        <w:tblPrEx/>
        <w:trPr>
          <w:trHeight w:val="552" w:hRule="atLeast"/>
        </w:trPr>
        <w:tc>
          <w:tcPr>
            <w:tcW w:w="4876" w:type="dxa"/>
            <w:vMerge w:val="continue"/>
            <w:tcBorders>
              <w:top w:val="nil"/>
              <w:left w:val="nil"/>
              <w:bottom w:val="nil"/>
              <w:right w:val="nil"/>
            </w:tcBorders>
            <w:vAlign w:val="center"/>
            <w:hideMark/>
          </w:tcPr>
          <w:p>
            <w:pPr>
              <w:pStyle w:val="style0"/>
              <w:spacing w:after="0" w:lineRule="auto" w:line="480"/>
              <w:rPr>
                <w:rFonts w:ascii="Times New Roman" w:cs="Times New Roman" w:eastAsia="Times New Roman" w:hAnsi="Times New Roman"/>
                <w:color w:val="000000"/>
                <w:sz w:val="24"/>
                <w:szCs w:val="24"/>
              </w:rPr>
            </w:pPr>
          </w:p>
        </w:tc>
      </w:tr>
      <w:tr>
        <w:tblPrEx/>
        <w:trPr>
          <w:trHeight w:val="552" w:hRule="atLeast"/>
        </w:trPr>
        <w:tc>
          <w:tcPr>
            <w:tcW w:w="4876" w:type="dxa"/>
            <w:vMerge w:val="continue"/>
            <w:tcBorders>
              <w:top w:val="nil"/>
              <w:left w:val="nil"/>
              <w:bottom w:val="nil"/>
              <w:right w:val="nil"/>
            </w:tcBorders>
            <w:vAlign w:val="center"/>
            <w:hideMark/>
          </w:tcPr>
          <w:p>
            <w:pPr>
              <w:pStyle w:val="style0"/>
              <w:spacing w:after="0" w:lineRule="auto" w:line="480"/>
              <w:rPr>
                <w:rFonts w:ascii="Times New Roman" w:cs="Times New Roman" w:eastAsia="Times New Roman" w:hAnsi="Times New Roman"/>
                <w:color w:val="000000"/>
                <w:sz w:val="24"/>
                <w:szCs w:val="24"/>
              </w:rPr>
            </w:pPr>
          </w:p>
        </w:tc>
      </w:tr>
      <w:tr>
        <w:tblPrEx/>
        <w:trPr>
          <w:trHeight w:val="552" w:hRule="atLeast"/>
        </w:trPr>
        <w:tc>
          <w:tcPr>
            <w:tcW w:w="4876" w:type="dxa"/>
            <w:vMerge w:val="continue"/>
            <w:tcBorders>
              <w:top w:val="nil"/>
              <w:left w:val="nil"/>
              <w:bottom w:val="nil"/>
              <w:right w:val="nil"/>
            </w:tcBorders>
            <w:shd w:val="clear" w:color="auto" w:fill="auto"/>
            <w:vAlign w:val="center"/>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In August, Sunday had the highest number of flights, and the highest number of delay minutes. Wednesday although was the day with the highest average delay time per flight. This is partially because of the ratio from flights to delay minutes (it's higher than Sunday's). 1hr 3min delay to a 1hr 10min delay avg.</w:t>
            </w:r>
          </w:p>
        </w:tc>
      </w:tr>
      <w:tr>
        <w:tblPrEx/>
        <w:trPr>
          <w:trHeight w:val="552" w:hRule="atLeast"/>
        </w:trPr>
        <w:tc>
          <w:tcPr>
            <w:tcW w:w="4876" w:type="dxa"/>
            <w:vMerge w:val="continue"/>
            <w:tcBorders>
              <w:top w:val="nil"/>
              <w:left w:val="nil"/>
              <w:bottom w:val="nil"/>
              <w:right w:val="nil"/>
            </w:tcBorders>
            <w:vAlign w:val="center"/>
            <w:hideMark/>
          </w:tcPr>
          <w:p>
            <w:pPr>
              <w:pStyle w:val="style0"/>
              <w:spacing w:after="0" w:lineRule="auto" w:line="480"/>
              <w:rPr>
                <w:rFonts w:ascii="Times New Roman" w:cs="Times New Roman" w:eastAsia="Times New Roman" w:hAnsi="Times New Roman"/>
                <w:color w:val="000000"/>
                <w:sz w:val="24"/>
                <w:szCs w:val="24"/>
              </w:rPr>
            </w:pPr>
          </w:p>
        </w:tc>
      </w:tr>
      <w:tr>
        <w:tblPrEx/>
        <w:trPr>
          <w:trHeight w:val="552" w:hRule="atLeast"/>
        </w:trPr>
        <w:tc>
          <w:tcPr>
            <w:tcW w:w="4876" w:type="dxa"/>
            <w:vMerge w:val="continue"/>
            <w:tcBorders>
              <w:top w:val="nil"/>
              <w:left w:val="nil"/>
              <w:bottom w:val="nil"/>
              <w:right w:val="nil"/>
            </w:tcBorders>
            <w:vAlign w:val="center"/>
            <w:hideMark/>
          </w:tcPr>
          <w:p>
            <w:pPr>
              <w:pStyle w:val="style0"/>
              <w:spacing w:after="0" w:lineRule="auto" w:line="480"/>
              <w:rPr>
                <w:rFonts w:ascii="Times New Roman" w:cs="Times New Roman" w:eastAsia="Times New Roman" w:hAnsi="Times New Roman"/>
                <w:color w:val="000000"/>
                <w:sz w:val="24"/>
                <w:szCs w:val="24"/>
              </w:rPr>
            </w:pPr>
          </w:p>
        </w:tc>
      </w:tr>
      <w:tr>
        <w:tblPrEx/>
        <w:trPr>
          <w:trHeight w:val="552" w:hRule="atLeast"/>
        </w:trPr>
        <w:tc>
          <w:tcPr>
            <w:tcW w:w="4876" w:type="dxa"/>
            <w:vMerge w:val="continue"/>
            <w:tcBorders>
              <w:top w:val="nil"/>
              <w:left w:val="nil"/>
              <w:bottom w:val="nil"/>
              <w:right w:val="nil"/>
            </w:tcBorders>
            <w:vAlign w:val="center"/>
            <w:hideMark/>
          </w:tcPr>
          <w:p>
            <w:pPr>
              <w:pStyle w:val="style0"/>
              <w:spacing w:after="0" w:lineRule="auto" w:line="480"/>
              <w:rPr>
                <w:rFonts w:ascii="Times New Roman" w:cs="Times New Roman" w:eastAsia="Times New Roman" w:hAnsi="Times New Roman"/>
                <w:color w:val="000000"/>
                <w:sz w:val="24"/>
                <w:szCs w:val="24"/>
              </w:rPr>
            </w:pPr>
          </w:p>
        </w:tc>
      </w:tr>
      <w:tr>
        <w:tblPrEx/>
        <w:trPr>
          <w:trHeight w:val="552" w:hRule="atLeast"/>
        </w:trPr>
        <w:tc>
          <w:tcPr>
            <w:tcW w:w="4876" w:type="dxa"/>
            <w:vMerge w:val="continue"/>
            <w:tcBorders>
              <w:top w:val="nil"/>
              <w:left w:val="nil"/>
              <w:bottom w:val="nil"/>
              <w:right w:val="nil"/>
            </w:tcBorders>
            <w:vAlign w:val="center"/>
            <w:hideMark/>
          </w:tcPr>
          <w:p>
            <w:pPr>
              <w:pStyle w:val="style0"/>
              <w:spacing w:after="0" w:lineRule="auto" w:line="480"/>
              <w:rPr>
                <w:rFonts w:ascii="Times New Roman" w:cs="Times New Roman" w:eastAsia="Times New Roman" w:hAnsi="Times New Roman"/>
                <w:color w:val="000000"/>
                <w:sz w:val="24"/>
                <w:szCs w:val="24"/>
              </w:rPr>
            </w:pPr>
          </w:p>
        </w:tc>
      </w:tr>
      <w:tr>
        <w:tblPrEx/>
        <w:trPr>
          <w:trHeight w:val="552" w:hRule="atLeast"/>
        </w:trPr>
        <w:tc>
          <w:tcPr>
            <w:tcW w:w="4876" w:type="dxa"/>
            <w:vMerge w:val="continue"/>
            <w:tcBorders>
              <w:top w:val="nil"/>
              <w:left w:val="nil"/>
              <w:bottom w:val="nil"/>
              <w:right w:val="nil"/>
            </w:tcBorders>
            <w:vAlign w:val="center"/>
            <w:hideMark/>
          </w:tcPr>
          <w:p>
            <w:pPr>
              <w:pStyle w:val="style0"/>
              <w:spacing w:after="0" w:lineRule="auto" w:line="480"/>
              <w:rPr>
                <w:rFonts w:ascii="Times New Roman" w:cs="Times New Roman" w:eastAsia="Times New Roman" w:hAnsi="Times New Roman"/>
                <w:color w:val="000000"/>
                <w:sz w:val="24"/>
                <w:szCs w:val="24"/>
              </w:rPr>
            </w:pPr>
          </w:p>
        </w:tc>
      </w:tr>
      <w:tr>
        <w:tblPrEx/>
        <w:trPr>
          <w:trHeight w:val="552" w:hRule="atLeast"/>
        </w:trPr>
        <w:tc>
          <w:tcPr>
            <w:tcW w:w="4876" w:type="dxa"/>
            <w:vMerge w:val="continue"/>
            <w:tcBorders>
              <w:top w:val="nil"/>
              <w:left w:val="nil"/>
              <w:bottom w:val="nil"/>
              <w:right w:val="nil"/>
            </w:tcBorders>
            <w:vAlign w:val="center"/>
            <w:hideMark/>
          </w:tcPr>
          <w:p>
            <w:pPr>
              <w:pStyle w:val="style0"/>
              <w:spacing w:after="0" w:lineRule="auto" w:line="480"/>
              <w:rPr>
                <w:rFonts w:ascii="Times New Roman" w:cs="Times New Roman" w:eastAsia="Times New Roman" w:hAnsi="Times New Roman"/>
                <w:color w:val="000000"/>
                <w:sz w:val="24"/>
                <w:szCs w:val="24"/>
              </w:rPr>
            </w:pPr>
          </w:p>
        </w:tc>
      </w:tr>
      <w:tr>
        <w:tblPrEx/>
        <w:trPr>
          <w:trHeight w:val="552" w:hRule="atLeast"/>
        </w:trPr>
        <w:tc>
          <w:tcPr>
            <w:tcW w:w="4876" w:type="dxa"/>
            <w:vMerge w:val="continue"/>
            <w:tcBorders>
              <w:top w:val="nil"/>
              <w:left w:val="nil"/>
              <w:bottom w:val="nil"/>
              <w:right w:val="nil"/>
            </w:tcBorders>
            <w:vAlign w:val="center"/>
            <w:hideMark/>
          </w:tcPr>
          <w:p>
            <w:pPr>
              <w:pStyle w:val="style0"/>
              <w:spacing w:after="0" w:lineRule="auto" w:line="480"/>
              <w:rPr>
                <w:rFonts w:ascii="Times New Roman" w:cs="Times New Roman" w:eastAsia="Times New Roman" w:hAnsi="Times New Roman"/>
                <w:color w:val="000000"/>
                <w:sz w:val="24"/>
                <w:szCs w:val="24"/>
              </w:rPr>
            </w:pPr>
          </w:p>
        </w:tc>
      </w:tr>
    </w:tbl>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clear="all"/>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98e4705-9530-4e1d-b1c3-938e41989f5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efc96a4-9630-4939-a1f8-78b84f0ffc66"/>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1187</Words>
  <Pages>5</Pages>
  <Characters>5986</Characters>
  <Application>WPS Office</Application>
  <DocSecurity>0</DocSecurity>
  <Paragraphs>348</Paragraphs>
  <ScaleCrop>false</ScaleCrop>
  <LinksUpToDate>false</LinksUpToDate>
  <CharactersWithSpaces>7046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2017-11-02T16:13:54Z</dcterms:created>
  <dc:creator>Patrick</dc:creator>
  <lastModifiedBy>Infinix NOTE 3 Pro</lastModifiedBy>
  <dcterms:modified xsi:type="dcterms:W3CDTF">2017-11-02T16:13:55Z</dcterms:modified>
  <revision>2</revision>
</coreProperties>
</file>

<file path=docProps/custom.xml><?xml version="1.0" encoding="utf-8"?>
<Properties xmlns="http://schemas.openxmlformats.org/officeDocument/2006/custom-properties" xmlns:vt="http://schemas.openxmlformats.org/officeDocument/2006/docPropsVTypes"/>
</file>